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43F67" w14:textId="07A8C8A9" w:rsidR="00722107" w:rsidRPr="00755B36" w:rsidRDefault="00722107" w:rsidP="00722107">
      <w:pPr>
        <w:jc w:val="center"/>
        <w:rPr>
          <w:rFonts w:ascii="Arial" w:hAnsi="Arial" w:cs="Arial"/>
          <w:b/>
          <w:bCs/>
          <w:lang w:val="en-ZA"/>
        </w:rPr>
      </w:pPr>
      <w:r w:rsidRPr="00755B36">
        <w:rPr>
          <w:rFonts w:ascii="Arial" w:hAnsi="Arial" w:cs="Arial"/>
          <w:b/>
          <w:bCs/>
          <w:noProof/>
          <w:lang w:val="en-ZA"/>
        </w:rPr>
        <w:drawing>
          <wp:inline distT="0" distB="0" distL="0" distR="0" wp14:anchorId="7126B529" wp14:editId="7746ED66">
            <wp:extent cx="2619375" cy="1856430"/>
            <wp:effectExtent l="0" t="0" r="0" b="0"/>
            <wp:docPr id="16206506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650630" name="Picture 1620650630"/>
                    <pic:cNvPicPr/>
                  </pic:nvPicPr>
                  <pic:blipFill>
                    <a:blip r:embed="rId6" cstate="print">
                      <a:extLst>
                        <a:ext uri="{28A0092B-C50C-407E-A947-70E740481C1C}">
                          <a14:useLocalDpi xmlns:a14="http://schemas.microsoft.com/office/drawing/2010/main" val="0"/>
                        </a:ext>
                      </a:extLst>
                    </a:blip>
                    <a:stretch>
                      <a:fillRect/>
                    </a:stretch>
                  </pic:blipFill>
                  <pic:spPr>
                    <a:xfrm>
                      <a:off x="0" y="0"/>
                      <a:ext cx="2645363" cy="1874848"/>
                    </a:xfrm>
                    <a:prstGeom prst="rect">
                      <a:avLst/>
                    </a:prstGeom>
                  </pic:spPr>
                </pic:pic>
              </a:graphicData>
            </a:graphic>
          </wp:inline>
        </w:drawing>
      </w:r>
    </w:p>
    <w:p w14:paraId="29291ECB" w14:textId="77777777" w:rsidR="00722107" w:rsidRPr="00755B36" w:rsidRDefault="00722107" w:rsidP="00722107">
      <w:pPr>
        <w:jc w:val="center"/>
        <w:rPr>
          <w:rFonts w:ascii="Arial" w:hAnsi="Arial" w:cs="Arial"/>
          <w:b/>
          <w:bCs/>
          <w:lang w:val="en-ZA"/>
        </w:rPr>
      </w:pPr>
    </w:p>
    <w:p w14:paraId="0B09A7FB" w14:textId="77777777" w:rsidR="00755B36" w:rsidRPr="00755B36" w:rsidRDefault="00755B36" w:rsidP="00616358">
      <w:pPr>
        <w:rPr>
          <w:rFonts w:ascii="Arial" w:hAnsi="Arial" w:cs="Arial"/>
          <w:lang w:val="pt-BR"/>
        </w:rPr>
      </w:pPr>
    </w:p>
    <w:p w14:paraId="4C7D7E14" w14:textId="785ECB2B" w:rsidR="00B74795" w:rsidRDefault="00EC4703" w:rsidP="00B74795">
      <w:pPr>
        <w:jc w:val="center"/>
        <w:rPr>
          <w:rFonts w:ascii="Arial" w:hAnsi="Arial" w:cs="Arial"/>
          <w:b/>
          <w:bCs/>
          <w:sz w:val="24"/>
          <w:szCs w:val="24"/>
          <w:lang w:val="pt-BR"/>
        </w:rPr>
      </w:pPr>
      <w:r w:rsidRPr="00EC4703">
        <w:rPr>
          <w:rFonts w:ascii="Arial" w:hAnsi="Arial" w:cs="Arial"/>
          <w:b/>
          <w:bCs/>
          <w:sz w:val="24"/>
          <w:szCs w:val="24"/>
          <w:lang w:val="pt-BR"/>
        </w:rPr>
        <w:t>COMUNICADO DE IMPRENSA</w:t>
      </w:r>
    </w:p>
    <w:p w14:paraId="42E08C19" w14:textId="77777777" w:rsidR="00B74795" w:rsidRDefault="00B74795" w:rsidP="00B74795">
      <w:pPr>
        <w:jc w:val="center"/>
        <w:rPr>
          <w:rFonts w:ascii="Arial" w:hAnsi="Arial" w:cs="Arial"/>
          <w:b/>
          <w:bCs/>
          <w:sz w:val="24"/>
          <w:szCs w:val="24"/>
          <w:lang w:val="pt-BR"/>
        </w:rPr>
      </w:pPr>
    </w:p>
    <w:p w14:paraId="78F3EFB1" w14:textId="3B6B67E3" w:rsidR="00616358" w:rsidRPr="00755B36" w:rsidRDefault="00616358" w:rsidP="00B74795">
      <w:pPr>
        <w:jc w:val="center"/>
        <w:rPr>
          <w:rFonts w:ascii="Arial" w:hAnsi="Arial" w:cs="Arial"/>
          <w:lang w:val="pt-BR"/>
        </w:rPr>
      </w:pPr>
      <w:r w:rsidRPr="00B74795">
        <w:rPr>
          <w:rFonts w:ascii="Arial" w:hAnsi="Arial" w:cs="Arial"/>
          <w:b/>
          <w:bCs/>
          <w:sz w:val="24"/>
          <w:szCs w:val="24"/>
          <w:lang w:val="pt-BR"/>
        </w:rPr>
        <w:t>Dia Mundial do Albatroz 2025: Um chamado global para proteger os sentinelas dos oceanos</w:t>
      </w:r>
      <w:r w:rsidRPr="00755B36">
        <w:rPr>
          <w:rFonts w:ascii="Arial" w:hAnsi="Arial" w:cs="Arial"/>
          <w:b/>
          <w:bCs/>
          <w:lang w:val="pt-BR"/>
        </w:rPr>
        <w:br/>
      </w:r>
      <w:r w:rsidRPr="00755B36">
        <w:rPr>
          <w:rFonts w:ascii="Arial" w:hAnsi="Arial" w:cs="Arial"/>
          <w:i/>
          <w:iCs/>
          <w:lang w:val="pt-BR"/>
        </w:rPr>
        <w:br/>
        <w:t>Altamente ameaçados pela gripe aviária e pesca industrial, albatrozes precisam urgentemente de proteção mundial</w:t>
      </w:r>
    </w:p>
    <w:p w14:paraId="413F59CE" w14:textId="77777777" w:rsidR="00616358" w:rsidRPr="00755B36" w:rsidRDefault="00616358" w:rsidP="00616358">
      <w:pPr>
        <w:rPr>
          <w:rFonts w:ascii="Arial" w:hAnsi="Arial" w:cs="Arial"/>
          <w:lang w:val="pt-BR"/>
        </w:rPr>
      </w:pPr>
    </w:p>
    <w:p w14:paraId="3664FB18" w14:textId="77777777" w:rsidR="00616358" w:rsidRPr="00755B36" w:rsidRDefault="00616358" w:rsidP="00616358">
      <w:pPr>
        <w:rPr>
          <w:rFonts w:ascii="Arial" w:hAnsi="Arial" w:cs="Arial"/>
          <w:lang w:val="pt-BR"/>
        </w:rPr>
      </w:pPr>
      <w:r w:rsidRPr="00755B36">
        <w:rPr>
          <w:rFonts w:ascii="Arial" w:hAnsi="Arial" w:cs="Arial"/>
          <w:lang w:val="pt-BR"/>
        </w:rPr>
        <w:t xml:space="preserve">No dia 19 de junho, se comemora o </w:t>
      </w:r>
      <w:r w:rsidRPr="00755B36">
        <w:rPr>
          <w:rFonts w:ascii="Arial" w:hAnsi="Arial" w:cs="Arial"/>
          <w:b/>
          <w:bCs/>
          <w:lang w:val="pt-BR"/>
        </w:rPr>
        <w:t>Dia Mundial do Albatroz</w:t>
      </w:r>
      <w:r w:rsidRPr="00755B36">
        <w:rPr>
          <w:rFonts w:ascii="Arial" w:hAnsi="Arial" w:cs="Arial"/>
          <w:lang w:val="pt-BR"/>
        </w:rPr>
        <w:t>, uma oportunidade para destacar a crise de conservação enfrentada por esses icônicos pássaros habitantes dos oceanos. Este ano, a data lança luz sobre o alarmante impacto das doenças, particularmente da Influenza Aviária Altamente Patogênica (gripe aviária), sobre as populações já vulneráveis de albatrozes. O atual surto global de gripe aviária já resultou na morte de milhares de aves silvestres, aproximando várias espécies da extinção. Estima-se que dezenas de espécies de albatrozes e petréis tenham sido afetadas pela gripe aviária em todo o mundo.</w:t>
      </w:r>
    </w:p>
    <w:p w14:paraId="5B019797" w14:textId="77777777" w:rsidR="00616358" w:rsidRPr="00755B36" w:rsidRDefault="00616358" w:rsidP="00616358">
      <w:pPr>
        <w:rPr>
          <w:rFonts w:ascii="Arial" w:hAnsi="Arial" w:cs="Arial"/>
          <w:lang w:val="pt-BR"/>
        </w:rPr>
      </w:pPr>
    </w:p>
    <w:p w14:paraId="67216DD2" w14:textId="77777777" w:rsidR="00616358" w:rsidRPr="00755B36" w:rsidRDefault="00616358" w:rsidP="00616358">
      <w:pPr>
        <w:rPr>
          <w:rFonts w:ascii="Arial" w:hAnsi="Arial" w:cs="Arial"/>
          <w:lang w:val="pt-BR"/>
        </w:rPr>
      </w:pPr>
      <w:r w:rsidRPr="00755B36">
        <w:rPr>
          <w:rFonts w:ascii="Arial" w:hAnsi="Arial" w:cs="Arial"/>
          <w:lang w:val="pt-BR"/>
        </w:rPr>
        <w:t>Celebrados por seus notáveis voos de longa distância, os albatrozes desempenham um papel crucial na manutenção da saúde dos ecossistemas marinhos. Como predadores de topo de cadeia, essas aves se alimentam de peixes, lulas e outros organismos marinhos e, ao excretar resíduos, contribuem para o ciclo de nutrientes, devolvendo nutrientes vitais ao oceano. Além disso, os albatrozes servem como indicadores da saúde do oceano. Um declínio nas populações de albatrozes frequentemente sinaliza mudanças nas populações de peixes ou problemas ambientais mais amplos, como mudanças climáticas ou poluição. Os albatrozes são os sentinelas dos nossos oceanos; se eles estão sofrendo, é um sinal de que todo o ecossistema marinho está sob estresse.</w:t>
      </w:r>
    </w:p>
    <w:p w14:paraId="087EF5B2" w14:textId="77777777" w:rsidR="00616358" w:rsidRPr="00755B36" w:rsidRDefault="00616358" w:rsidP="00616358">
      <w:pPr>
        <w:rPr>
          <w:rFonts w:ascii="Arial" w:hAnsi="Arial" w:cs="Arial"/>
          <w:lang w:val="pt-BR"/>
        </w:rPr>
      </w:pPr>
    </w:p>
    <w:p w14:paraId="09A4706E" w14:textId="77777777" w:rsidR="00616358" w:rsidRPr="00755B36" w:rsidRDefault="00616358" w:rsidP="00616358">
      <w:pPr>
        <w:rPr>
          <w:rFonts w:ascii="Arial" w:hAnsi="Arial" w:cs="Arial"/>
          <w:lang w:val="pt-BR"/>
        </w:rPr>
      </w:pPr>
      <w:r w:rsidRPr="00755B36">
        <w:rPr>
          <w:rFonts w:ascii="Arial" w:hAnsi="Arial" w:cs="Arial"/>
          <w:lang w:val="pt-BR"/>
        </w:rPr>
        <w:t xml:space="preserve">Os albatrozes estão entre as aves mais ameaçadas globalmente, com 15 das 22 espécies atualmente listadas como </w:t>
      </w:r>
      <w:r w:rsidRPr="00755B36">
        <w:rPr>
          <w:rFonts w:ascii="Arial" w:hAnsi="Arial" w:cs="Arial"/>
          <w:i/>
          <w:iCs/>
          <w:lang w:val="pt-BR"/>
        </w:rPr>
        <w:t xml:space="preserve">Criticamente Ameaçadas, Ameaçadas ou Vulneráveis </w:t>
      </w:r>
      <w:r w:rsidRPr="00755B36">
        <w:rPr>
          <w:rFonts w:ascii="Arial" w:hAnsi="Arial" w:cs="Arial"/>
          <w:lang w:val="pt-BR"/>
        </w:rPr>
        <w:t xml:space="preserve">na Lista Vermelha da IUCN. “Os albatrozes já estão enfrentando várias ameaças significativas, como a captura acidental na pesca industrial, predadores invasores nas ilhas onde fazem ninhos, poluição marinha e por plástico, além das mudanças climáticas”, diz a Dra Laura Roberts, veterinária do </w:t>
      </w:r>
      <w:r w:rsidRPr="00755B36">
        <w:rPr>
          <w:rFonts w:ascii="Arial" w:hAnsi="Arial" w:cs="Arial"/>
          <w:lang w:val="es-AR"/>
        </w:rPr>
        <w:t xml:space="preserve">Departamento de Agricultura da </w:t>
      </w:r>
      <w:proofErr w:type="spellStart"/>
      <w:r w:rsidRPr="00755B36">
        <w:rPr>
          <w:rFonts w:ascii="Arial" w:hAnsi="Arial" w:cs="Arial"/>
          <w:lang w:val="es-AR"/>
        </w:rPr>
        <w:t>Província</w:t>
      </w:r>
      <w:proofErr w:type="spellEnd"/>
      <w:r w:rsidRPr="00755B36">
        <w:rPr>
          <w:rFonts w:ascii="Arial" w:hAnsi="Arial" w:cs="Arial"/>
          <w:lang w:val="es-AR"/>
        </w:rPr>
        <w:t xml:space="preserve"> do Cabo </w:t>
      </w:r>
      <w:proofErr w:type="spellStart"/>
      <w:r w:rsidRPr="00755B36">
        <w:rPr>
          <w:rFonts w:ascii="Arial" w:hAnsi="Arial" w:cs="Arial"/>
          <w:lang w:val="es-AR"/>
        </w:rPr>
        <w:t>Ocidental</w:t>
      </w:r>
      <w:proofErr w:type="spellEnd"/>
      <w:r w:rsidRPr="00755B36">
        <w:rPr>
          <w:rFonts w:ascii="Arial" w:hAnsi="Arial" w:cs="Arial"/>
          <w:lang w:val="es-AR"/>
        </w:rPr>
        <w:t>, África do Sul</w:t>
      </w:r>
      <w:r w:rsidRPr="00755B36">
        <w:rPr>
          <w:rFonts w:ascii="Arial" w:hAnsi="Arial" w:cs="Arial"/>
          <w:lang w:val="pt-BR"/>
        </w:rPr>
        <w:t>. </w:t>
      </w:r>
    </w:p>
    <w:p w14:paraId="0479D95F" w14:textId="77777777" w:rsidR="00616358" w:rsidRPr="00755B36" w:rsidRDefault="00616358" w:rsidP="00616358">
      <w:pPr>
        <w:rPr>
          <w:rFonts w:ascii="Arial" w:hAnsi="Arial" w:cs="Arial"/>
          <w:lang w:val="pt-BR"/>
        </w:rPr>
      </w:pPr>
    </w:p>
    <w:p w14:paraId="5194C7D6" w14:textId="77777777" w:rsidR="00616358" w:rsidRPr="00755B36" w:rsidRDefault="00616358" w:rsidP="00616358">
      <w:pPr>
        <w:rPr>
          <w:rFonts w:ascii="Arial" w:hAnsi="Arial" w:cs="Arial"/>
          <w:lang w:val="pt-BR"/>
        </w:rPr>
      </w:pPr>
      <w:r w:rsidRPr="00755B36">
        <w:rPr>
          <w:rFonts w:ascii="Arial" w:hAnsi="Arial" w:cs="Arial"/>
          <w:lang w:val="pt-BR"/>
        </w:rPr>
        <w:t>Com o atual surto global de gripe aviária, essas aves estão enfrentando uma convergência de ameaças ainda mais grave e sem precedentes, empurrando muitas espécies em direção à extinção. “Estamos testemunhando uma tempestade perfeita de ameaças”, afirma a Dra. Marcela Uhart, especialista em saúde da vida selvagem da Universidade da Califórnia, Davis, EUA. “A necessidade de ações de conservação coordenadas e baseadas na ciência nunca foi tão urgente.” </w:t>
      </w:r>
    </w:p>
    <w:p w14:paraId="53C32AAB" w14:textId="77777777" w:rsidR="00616358" w:rsidRPr="00755B36" w:rsidRDefault="00616358" w:rsidP="00616358">
      <w:pPr>
        <w:rPr>
          <w:rFonts w:ascii="Arial" w:hAnsi="Arial" w:cs="Arial"/>
          <w:lang w:val="pt-BR"/>
        </w:rPr>
      </w:pPr>
    </w:p>
    <w:p w14:paraId="0148B85E" w14:textId="6D9FFDD5" w:rsidR="00616358" w:rsidRPr="00755B36" w:rsidRDefault="00616358" w:rsidP="00616358">
      <w:pPr>
        <w:rPr>
          <w:rFonts w:ascii="Arial" w:hAnsi="Arial" w:cs="Arial"/>
          <w:lang w:val="pt-BR"/>
        </w:rPr>
      </w:pPr>
      <w:r w:rsidRPr="00755B36">
        <w:rPr>
          <w:rFonts w:ascii="Arial" w:hAnsi="Arial" w:cs="Arial"/>
          <w:lang w:val="pt-BR"/>
        </w:rPr>
        <w:lastRenderedPageBreak/>
        <w:t>Surtos recentes de gripe aviária foram confirmados entre várias espécies de aves marinhas, incluindo albatrozes, em ambos os hemisférios do planeta. Estimativas recentes sugerem que mais de 10.000 filhotes e milhares de adultos do albatroz-de-sobrancelha (</w:t>
      </w:r>
      <w:r w:rsidRPr="00755B36">
        <w:rPr>
          <w:rFonts w:ascii="Arial" w:hAnsi="Arial" w:cs="Arial"/>
          <w:i/>
          <w:iCs/>
          <w:lang w:val="pt-BR"/>
        </w:rPr>
        <w:t>Thalassarche melanophris</w:t>
      </w:r>
      <w:r w:rsidRPr="00755B36">
        <w:rPr>
          <w:rFonts w:ascii="Arial" w:hAnsi="Arial" w:cs="Arial"/>
          <w:lang w:val="pt-BR"/>
        </w:rPr>
        <w:t>) morreram no verão passado devido a um surto de gripe aviária nas Ilhas Falkland (</w:t>
      </w:r>
      <w:r w:rsidR="00B74795">
        <w:rPr>
          <w:rFonts w:ascii="Arial" w:hAnsi="Arial" w:cs="Arial"/>
          <w:lang w:val="pt-BR"/>
        </w:rPr>
        <w:t>Falkland Islands/Islas</w:t>
      </w:r>
      <w:r w:rsidRPr="00755B36">
        <w:rPr>
          <w:rFonts w:ascii="Arial" w:hAnsi="Arial" w:cs="Arial"/>
          <w:lang w:val="pt-BR"/>
        </w:rPr>
        <w:t xml:space="preserve"> Malvinas)</w:t>
      </w:r>
      <w:r w:rsidR="00B74795">
        <w:rPr>
          <w:rFonts w:ascii="Arial" w:hAnsi="Arial" w:cs="Arial"/>
          <w:lang w:val="pt-BR"/>
        </w:rPr>
        <w:t>*</w:t>
      </w:r>
      <w:r w:rsidRPr="00755B36">
        <w:rPr>
          <w:rFonts w:ascii="Arial" w:hAnsi="Arial" w:cs="Arial"/>
          <w:lang w:val="pt-BR"/>
        </w:rPr>
        <w:t>. A doença se espalhou até a região subantártica, afetando colônias de albatrozes-errantes (</w:t>
      </w:r>
      <w:r w:rsidRPr="00755B36">
        <w:rPr>
          <w:rFonts w:ascii="Arial" w:hAnsi="Arial" w:cs="Arial"/>
          <w:i/>
          <w:iCs/>
          <w:lang w:val="pt-BR"/>
        </w:rPr>
        <w:t>Diomedea exulans)</w:t>
      </w:r>
      <w:r w:rsidRPr="00755B36">
        <w:rPr>
          <w:rFonts w:ascii="Arial" w:hAnsi="Arial" w:cs="Arial"/>
          <w:lang w:val="pt-BR"/>
        </w:rPr>
        <w:t xml:space="preserve"> nas ilhas Geórgias do Sul (</w:t>
      </w:r>
      <w:r w:rsidR="00B74795">
        <w:rPr>
          <w:rFonts w:ascii="Arial" w:hAnsi="Arial" w:cs="Arial"/>
          <w:lang w:val="pt-BR"/>
        </w:rPr>
        <w:t>South Georgia/</w:t>
      </w:r>
      <w:r w:rsidRPr="00755B36">
        <w:rPr>
          <w:rFonts w:ascii="Arial" w:hAnsi="Arial" w:cs="Arial"/>
          <w:lang w:val="pt-BR"/>
        </w:rPr>
        <w:t>Islas Georgias del Sur)*, Marion, Crozet and Kerguelen, no Oceano Setentrional. Casos isolados de infecção por gripe aviária foram registrados também em Procellariiformes (a ordem que inclui albatrozes e petréis) em toda a Europa, África e Américas.</w:t>
      </w:r>
    </w:p>
    <w:p w14:paraId="5DD5A43F" w14:textId="77777777" w:rsidR="00616358" w:rsidRPr="00755B36" w:rsidRDefault="00616358" w:rsidP="00616358">
      <w:pPr>
        <w:rPr>
          <w:rFonts w:ascii="Arial" w:hAnsi="Arial" w:cs="Arial"/>
          <w:lang w:val="pt-BR"/>
        </w:rPr>
      </w:pPr>
    </w:p>
    <w:p w14:paraId="680AE445" w14:textId="77777777" w:rsidR="00616358" w:rsidRPr="00755B36" w:rsidRDefault="00616358" w:rsidP="00616358">
      <w:pPr>
        <w:rPr>
          <w:rFonts w:ascii="Arial" w:hAnsi="Arial" w:cs="Arial"/>
          <w:lang w:val="pt-BR"/>
        </w:rPr>
      </w:pPr>
      <w:r w:rsidRPr="00755B36">
        <w:rPr>
          <w:rFonts w:ascii="Arial" w:hAnsi="Arial" w:cs="Arial"/>
          <w:lang w:val="pt-BR"/>
        </w:rPr>
        <w:t>Mesmo antes do surgimento da gripe aviária, outras doenças infecciosas já afetavam aves marinhas em todo o mundo. Por exemplo, "os albatrozes-de-nariz-amarelo-indianos (</w:t>
      </w:r>
      <w:r w:rsidRPr="00755B36">
        <w:rPr>
          <w:rFonts w:ascii="Arial" w:hAnsi="Arial" w:cs="Arial"/>
          <w:i/>
          <w:iCs/>
          <w:lang w:val="pt-BR"/>
        </w:rPr>
        <w:t>T. carteri)</w:t>
      </w:r>
      <w:r w:rsidRPr="00755B36">
        <w:rPr>
          <w:rFonts w:ascii="Arial" w:hAnsi="Arial" w:cs="Arial"/>
          <w:lang w:val="pt-BR"/>
        </w:rPr>
        <w:t xml:space="preserve"> da Ilha de Amsterdã enfrentam surtos recorrentes de cólera aviária, uma doença bacteriana, desde meados da década de 1980", afirma a Dra. Amandine Gamble, ecologista de doenças infecciosas da Universidade Cornell</w:t>
      </w:r>
      <w:r w:rsidRPr="00755B36">
        <w:rPr>
          <w:rFonts w:ascii="Arial" w:hAnsi="Arial" w:cs="Arial"/>
          <w:lang w:val="es-AR"/>
        </w:rPr>
        <w:t xml:space="preserve">, Nova </w:t>
      </w:r>
      <w:proofErr w:type="spellStart"/>
      <w:r w:rsidRPr="00755B36">
        <w:rPr>
          <w:rFonts w:ascii="Arial" w:hAnsi="Arial" w:cs="Arial"/>
          <w:lang w:val="es-AR"/>
        </w:rPr>
        <w:t>Iorque</w:t>
      </w:r>
      <w:proofErr w:type="spellEnd"/>
      <w:r w:rsidRPr="00755B36">
        <w:rPr>
          <w:rFonts w:ascii="Arial" w:hAnsi="Arial" w:cs="Arial"/>
          <w:lang w:val="es-AR"/>
        </w:rPr>
        <w:t>, EUA</w:t>
      </w:r>
      <w:r w:rsidRPr="00755B36">
        <w:rPr>
          <w:rFonts w:ascii="Arial" w:hAnsi="Arial" w:cs="Arial"/>
          <w:lang w:val="pt-BR"/>
        </w:rPr>
        <w:t>. "A gripe aviária representa uma ameaça adicional a essas populações já enfraquecidas", acrescenta Gamble. Outras doenças infecciosas que afetam albatrozes e petréis incluem, por exemplo, os poxvírus.</w:t>
      </w:r>
    </w:p>
    <w:p w14:paraId="04E41924" w14:textId="77777777" w:rsidR="00616358" w:rsidRPr="00755B36" w:rsidRDefault="00616358" w:rsidP="00616358">
      <w:pPr>
        <w:rPr>
          <w:rFonts w:ascii="Arial" w:hAnsi="Arial" w:cs="Arial"/>
          <w:lang w:val="pt-BR"/>
        </w:rPr>
      </w:pPr>
    </w:p>
    <w:p w14:paraId="3DA52709" w14:textId="77777777" w:rsidR="00616358" w:rsidRPr="00755B36" w:rsidRDefault="00616358" w:rsidP="00616358">
      <w:pPr>
        <w:rPr>
          <w:rFonts w:ascii="Arial" w:hAnsi="Arial" w:cs="Arial"/>
          <w:lang w:val="pt-BR"/>
        </w:rPr>
      </w:pPr>
      <w:r w:rsidRPr="00755B36">
        <w:rPr>
          <w:rFonts w:ascii="Arial" w:hAnsi="Arial" w:cs="Arial"/>
          <w:lang w:val="pt-BR"/>
        </w:rPr>
        <w:t>Albatrozes e petréis geralmente se reproduzem em grandes e densas colônias e por isso são particularmente vulneráveis a patógenos. “Uma vez que a gripe aviária atinge colônias de aves marinhas, nossa capacidade de reduzir a mortalidade é extremamente limitada”, diz Patricia Serafini, analista ambiental do Centro Nacional de Pesquisa e Conservação de Aves Silvestres (CEMAVE) e Coordenadora do Grupo de Trabalho de Populações e Estado de Conservação do ACAP. “Devemos fazer tudo o que pudermos para prevenir a propagação adicional, enquanto abordamos simultaneamente outras ameaças de conservação para as quais já existem ferramentas de mitigação disponíveis.”</w:t>
      </w:r>
    </w:p>
    <w:p w14:paraId="03D75D83" w14:textId="77777777" w:rsidR="00616358" w:rsidRPr="00755B36" w:rsidRDefault="00616358" w:rsidP="00616358">
      <w:pPr>
        <w:rPr>
          <w:rFonts w:ascii="Arial" w:hAnsi="Arial" w:cs="Arial"/>
          <w:lang w:val="pt-BR"/>
        </w:rPr>
      </w:pPr>
    </w:p>
    <w:p w14:paraId="782B2AE0" w14:textId="77777777" w:rsidR="00616358" w:rsidRPr="00755B36" w:rsidRDefault="00616358" w:rsidP="00616358">
      <w:pPr>
        <w:rPr>
          <w:rFonts w:ascii="Arial" w:hAnsi="Arial" w:cs="Arial"/>
          <w:lang w:val="pt-BR"/>
        </w:rPr>
      </w:pPr>
      <w:r w:rsidRPr="00755B36">
        <w:rPr>
          <w:rFonts w:ascii="Arial" w:hAnsi="Arial" w:cs="Arial"/>
          <w:lang w:val="pt-BR"/>
        </w:rPr>
        <w:t>“Os consumidores podem desempenhar um papel importante na conservação dos albatrozes”, afirma Serafini. Ao escolher peixes e frutos do mar não associados à captura incidental de albatrozes, cada um pode ajudar a minimizar uma das principais ameaças a essas aves. Apoiar marcas e pescarias que priorizam práticas seguras e uso de medidas mitigadoras para a mortalidade de aves marinhas é um passo vital para proteger esses viajantes oceânicos. Também pode-se prevenir a propagação da gripe aviária e outras doenças respeitando os avisos de viagem sobre áreas afetadas e reportando aves mortas às autoridades locais de vida silvestre ou departamentos de saúde”.</w:t>
      </w:r>
    </w:p>
    <w:p w14:paraId="2B18CDBC" w14:textId="77777777" w:rsidR="00616358" w:rsidRPr="00755B36" w:rsidRDefault="00616358" w:rsidP="00616358">
      <w:pPr>
        <w:rPr>
          <w:rFonts w:ascii="Arial" w:hAnsi="Arial" w:cs="Arial"/>
          <w:lang w:val="pt-BR"/>
        </w:rPr>
      </w:pPr>
    </w:p>
    <w:p w14:paraId="71997099" w14:textId="77777777" w:rsidR="00616358" w:rsidRPr="00755B36" w:rsidRDefault="00616358" w:rsidP="00616358">
      <w:pPr>
        <w:rPr>
          <w:rFonts w:ascii="Arial" w:hAnsi="Arial" w:cs="Arial"/>
          <w:lang w:val="pt-BR"/>
        </w:rPr>
      </w:pPr>
      <w:r w:rsidRPr="00755B36">
        <w:rPr>
          <w:rFonts w:ascii="Arial" w:hAnsi="Arial" w:cs="Arial"/>
          <w:lang w:val="pt-BR"/>
        </w:rPr>
        <w:t>O Dia Mundial do Albatroz serve como um poderoso lembrete das ameaças interconectadas que a vida marinha enfrenta. “Proteger albatrozes e petréis não é apenas preservar aves magníficas, é conservar a biodiversidade e os papéis ecológicos dos oceanos do mundo”, diz Serafini.</w:t>
      </w:r>
    </w:p>
    <w:p w14:paraId="26818C7A" w14:textId="77777777" w:rsidR="00616358" w:rsidRPr="00755B36" w:rsidRDefault="00616358" w:rsidP="00616358">
      <w:pPr>
        <w:rPr>
          <w:rFonts w:ascii="Arial" w:hAnsi="Arial" w:cs="Arial"/>
          <w:lang w:val="pt-BR"/>
        </w:rPr>
      </w:pPr>
    </w:p>
    <w:p w14:paraId="52F6F791" w14:textId="77777777" w:rsidR="00616358" w:rsidRPr="00755B36" w:rsidRDefault="00616358" w:rsidP="00616358">
      <w:pPr>
        <w:rPr>
          <w:rFonts w:ascii="Arial" w:hAnsi="Arial" w:cs="Arial"/>
          <w:lang w:val="pt-BR"/>
        </w:rPr>
      </w:pPr>
      <w:r w:rsidRPr="00755B36">
        <w:rPr>
          <w:rFonts w:ascii="Arial" w:hAnsi="Arial" w:cs="Arial"/>
          <w:lang w:val="pt-BR"/>
        </w:rPr>
        <w:t>Junte-se a nós neste 19 de junho na celebração do Dia Mundial do Albatross e na defesa dessas notáveis sentinelas do mar. Para mais informações sobre como se envolver e apoiar os esforços de conservação dos albatrozes, visite https://www.acap.aq/</w:t>
      </w:r>
    </w:p>
    <w:p w14:paraId="678447F2" w14:textId="77777777" w:rsidR="00616358" w:rsidRPr="00755B36" w:rsidRDefault="00616358" w:rsidP="00616358">
      <w:pPr>
        <w:rPr>
          <w:rFonts w:ascii="Arial" w:hAnsi="Arial" w:cs="Arial"/>
          <w:lang w:val="pt-BR"/>
        </w:rPr>
      </w:pPr>
    </w:p>
    <w:p w14:paraId="54625D32" w14:textId="27F1235D" w:rsidR="00616358" w:rsidRPr="00755B36" w:rsidRDefault="00616358" w:rsidP="00616358">
      <w:pPr>
        <w:rPr>
          <w:rFonts w:ascii="Arial" w:hAnsi="Arial" w:cs="Arial"/>
          <w:i/>
          <w:iCs/>
          <w:lang w:val="pt-BR"/>
        </w:rPr>
      </w:pPr>
      <w:r w:rsidRPr="00755B36">
        <w:rPr>
          <w:rFonts w:ascii="Arial" w:hAnsi="Arial" w:cs="Arial"/>
          <w:i/>
          <w:iCs/>
          <w:lang w:val="pt-BR"/>
        </w:rPr>
        <w:t>Emitido pelo Grupo Intersessional do ACAP sobre Influenza Aviária e Doenças, em nome da Secretaria do ACAP</w:t>
      </w:r>
      <w:r w:rsidR="00EC4703">
        <w:rPr>
          <w:rFonts w:ascii="Arial" w:hAnsi="Arial" w:cs="Arial"/>
          <w:i/>
          <w:iCs/>
          <w:lang w:val="pt-BR"/>
        </w:rPr>
        <w:t>, 16</w:t>
      </w:r>
      <w:r w:rsidR="00EC4703" w:rsidRPr="00EC4703">
        <w:rPr>
          <w:rFonts w:ascii="Arial" w:hAnsi="Arial" w:cs="Arial"/>
          <w:i/>
          <w:iCs/>
          <w:lang w:val="pt-BR"/>
        </w:rPr>
        <w:t xml:space="preserve"> de junho de 202</w:t>
      </w:r>
      <w:r w:rsidR="00EC4703">
        <w:rPr>
          <w:rFonts w:ascii="Arial" w:hAnsi="Arial" w:cs="Arial"/>
          <w:i/>
          <w:iCs/>
          <w:lang w:val="pt-BR"/>
        </w:rPr>
        <w:t>5.</w:t>
      </w:r>
    </w:p>
    <w:p w14:paraId="5C9E1CA8" w14:textId="77777777" w:rsidR="00616358" w:rsidRDefault="00616358" w:rsidP="00616358">
      <w:pPr>
        <w:rPr>
          <w:rFonts w:ascii="Arial" w:hAnsi="Arial" w:cs="Arial"/>
          <w:lang w:val="pt-BR"/>
        </w:rPr>
      </w:pPr>
    </w:p>
    <w:p w14:paraId="38BE3C89" w14:textId="77777777" w:rsidR="00616358" w:rsidRPr="00755B36" w:rsidRDefault="00616358" w:rsidP="00616358">
      <w:pPr>
        <w:rPr>
          <w:rFonts w:ascii="Arial" w:hAnsi="Arial" w:cs="Arial"/>
          <w:lang w:val="pt-BR"/>
        </w:rPr>
      </w:pPr>
      <w:r w:rsidRPr="00755B36">
        <w:rPr>
          <w:rFonts w:ascii="Arial" w:hAnsi="Arial" w:cs="Arial"/>
          <w:lang w:val="pt-BR"/>
        </w:rPr>
        <w:t>*</w:t>
      </w:r>
      <w:r w:rsidRPr="00755B36">
        <w:rPr>
          <w:rFonts w:ascii="Arial" w:hAnsi="Arial" w:cs="Arial"/>
          <w:sz w:val="20"/>
          <w:szCs w:val="20"/>
          <w:lang w:val="pt-BR"/>
        </w:rPr>
        <w:t>Existe uma disputa entre os Governos da Argentina e do Reino Unido da Grã-Bretanha e Irlanda do Norte quanto à soberania sobre as Ilhas Malvinas (Falkland Islands), Geórgia do Sul e Ilhas Sandwich do Sul (South Georgia and South Sandwich Islands), bem como as áreas marítimas circundantes.</w:t>
      </w:r>
    </w:p>
    <w:p w14:paraId="5DB49C3B" w14:textId="77777777" w:rsidR="00616358" w:rsidRDefault="00616358" w:rsidP="00616358">
      <w:pPr>
        <w:rPr>
          <w:rFonts w:ascii="Arial" w:hAnsi="Arial" w:cs="Arial"/>
          <w:lang w:val="pt-BR"/>
        </w:rPr>
      </w:pPr>
    </w:p>
    <w:p w14:paraId="5E02B2B4" w14:textId="77B6C44C" w:rsidR="00B74795" w:rsidRDefault="00B74795" w:rsidP="00B74795">
      <w:pPr>
        <w:jc w:val="center"/>
        <w:rPr>
          <w:rFonts w:ascii="Arial" w:hAnsi="Arial" w:cs="Arial"/>
          <w:lang w:val="pt-BR"/>
        </w:rPr>
      </w:pPr>
      <w:r>
        <w:rPr>
          <w:rFonts w:ascii="Arial" w:hAnsi="Arial" w:cs="Arial"/>
          <w:lang w:val="pt-BR"/>
        </w:rPr>
        <w:lastRenderedPageBreak/>
        <w:t>*****</w:t>
      </w:r>
    </w:p>
    <w:p w14:paraId="38BA71A8" w14:textId="77777777" w:rsidR="00B74795" w:rsidRDefault="00B74795" w:rsidP="00B74795">
      <w:pPr>
        <w:jc w:val="center"/>
        <w:rPr>
          <w:rFonts w:ascii="Arial" w:hAnsi="Arial" w:cs="Arial"/>
          <w:lang w:val="pt-BR"/>
        </w:rPr>
      </w:pPr>
    </w:p>
    <w:p w14:paraId="78232CB1" w14:textId="77777777" w:rsidR="00B74795" w:rsidRPr="00755B36" w:rsidRDefault="00B74795" w:rsidP="00B74795">
      <w:pPr>
        <w:rPr>
          <w:rFonts w:ascii="Arial" w:hAnsi="Arial" w:cs="Arial"/>
          <w:b/>
          <w:bCs/>
          <w:lang w:val="pt-BR"/>
        </w:rPr>
      </w:pPr>
      <w:r w:rsidRPr="00755B36">
        <w:rPr>
          <w:rFonts w:ascii="Arial" w:hAnsi="Arial" w:cs="Arial"/>
          <w:b/>
          <w:bCs/>
          <w:lang w:val="pt-BR"/>
        </w:rPr>
        <w:t>Sobre o ACAP</w:t>
      </w:r>
    </w:p>
    <w:p w14:paraId="78767AC9" w14:textId="77777777" w:rsidR="00B74795" w:rsidRPr="00755B36" w:rsidRDefault="00B74795" w:rsidP="00B74795">
      <w:pPr>
        <w:rPr>
          <w:rFonts w:ascii="Arial" w:hAnsi="Arial" w:cs="Arial"/>
          <w:lang w:val="pt-BR"/>
        </w:rPr>
      </w:pPr>
      <w:r w:rsidRPr="00755B36">
        <w:rPr>
          <w:rFonts w:ascii="Arial" w:hAnsi="Arial" w:cs="Arial"/>
          <w:lang w:val="pt-BR"/>
        </w:rPr>
        <w:t>O Acordo para a Conservação de Albatrozes e Petréis (ACAP) é uma iniciativa intergovernamental voltada para a conservação de albatrozes e petréis por meio da coordenação de esforços internacionais para enfrentar as ameaças às suas populações. O ACAP foi aberto para assinatura em 19 de junho de 2001 e entrou em vigor em fevereiro de 2004. Atualmente, o Acordo abrange todas as 22 espécies de albatrozes e 9 espécies de petréis. O ACAP conta com 13 Partes e sua Secretaria está sediada em Hobart, Tasmânia, Austrália.</w:t>
      </w:r>
    </w:p>
    <w:p w14:paraId="367D9331" w14:textId="77777777" w:rsidR="00B74795" w:rsidRPr="00B74795" w:rsidRDefault="00B74795" w:rsidP="00B74795">
      <w:pPr>
        <w:rPr>
          <w:rFonts w:ascii="Arial" w:hAnsi="Arial" w:cs="Arial"/>
          <w:b/>
          <w:bCs/>
          <w:lang w:val="en-ZA"/>
        </w:rPr>
      </w:pPr>
    </w:p>
    <w:p w14:paraId="236BBD39" w14:textId="77777777" w:rsidR="00B74795" w:rsidRDefault="00B74795" w:rsidP="00B74795">
      <w:pPr>
        <w:rPr>
          <w:rFonts w:ascii="Arial" w:hAnsi="Arial" w:cs="Arial"/>
          <w:b/>
          <w:bCs/>
          <w:lang w:val="en-ZA"/>
        </w:rPr>
      </w:pPr>
      <w:proofErr w:type="spellStart"/>
      <w:r w:rsidRPr="00B74795">
        <w:rPr>
          <w:rFonts w:ascii="Arial" w:hAnsi="Arial" w:cs="Arial"/>
          <w:b/>
          <w:bCs/>
          <w:lang w:val="en-ZA"/>
        </w:rPr>
        <w:t>Informações</w:t>
      </w:r>
      <w:proofErr w:type="spellEnd"/>
      <w:r w:rsidRPr="00B74795">
        <w:rPr>
          <w:rFonts w:ascii="Arial" w:hAnsi="Arial" w:cs="Arial"/>
          <w:b/>
          <w:bCs/>
          <w:lang w:val="en-ZA"/>
        </w:rPr>
        <w:t xml:space="preserve"> de </w:t>
      </w:r>
      <w:proofErr w:type="spellStart"/>
      <w:r w:rsidRPr="00B74795">
        <w:rPr>
          <w:rFonts w:ascii="Arial" w:hAnsi="Arial" w:cs="Arial"/>
          <w:b/>
          <w:bCs/>
          <w:lang w:val="en-ZA"/>
        </w:rPr>
        <w:t>contato</w:t>
      </w:r>
      <w:proofErr w:type="spellEnd"/>
      <w:r w:rsidRPr="00B74795">
        <w:rPr>
          <w:rFonts w:ascii="Arial" w:hAnsi="Arial" w:cs="Arial"/>
          <w:b/>
          <w:bCs/>
          <w:lang w:val="en-ZA"/>
        </w:rPr>
        <w:t xml:space="preserve"> </w:t>
      </w:r>
    </w:p>
    <w:p w14:paraId="7344494C" w14:textId="17D00C12" w:rsidR="00B74795" w:rsidRPr="00B74795" w:rsidRDefault="00B74795" w:rsidP="00B74795">
      <w:pPr>
        <w:rPr>
          <w:rFonts w:ascii="Arial" w:hAnsi="Arial" w:cs="Arial"/>
          <w:lang w:val="en-AU"/>
        </w:rPr>
      </w:pPr>
      <w:r w:rsidRPr="00B74795">
        <w:rPr>
          <w:rFonts w:ascii="Arial" w:hAnsi="Arial" w:cs="Arial"/>
          <w:lang w:val="en-AU"/>
        </w:rPr>
        <w:t xml:space="preserve">Christine Bogle, </w:t>
      </w:r>
      <w:proofErr w:type="spellStart"/>
      <w:r w:rsidRPr="00B74795">
        <w:rPr>
          <w:rFonts w:ascii="Arial" w:hAnsi="Arial" w:cs="Arial"/>
          <w:lang w:val="en-AU"/>
        </w:rPr>
        <w:t>Secretaria</w:t>
      </w:r>
      <w:proofErr w:type="spellEnd"/>
      <w:r w:rsidRPr="00B74795">
        <w:rPr>
          <w:rFonts w:ascii="Arial" w:hAnsi="Arial" w:cs="Arial"/>
          <w:lang w:val="en-AU"/>
        </w:rPr>
        <w:t xml:space="preserve"> </w:t>
      </w:r>
      <w:proofErr w:type="spellStart"/>
      <w:r w:rsidRPr="00B74795">
        <w:rPr>
          <w:rFonts w:ascii="Arial" w:hAnsi="Arial" w:cs="Arial"/>
          <w:lang w:val="en-AU"/>
        </w:rPr>
        <w:t>Executiva</w:t>
      </w:r>
      <w:proofErr w:type="spellEnd"/>
      <w:r w:rsidRPr="00B74795">
        <w:rPr>
          <w:rFonts w:ascii="Arial" w:hAnsi="Arial" w:cs="Arial"/>
          <w:lang w:val="en-AU"/>
        </w:rPr>
        <w:t xml:space="preserve"> </w:t>
      </w:r>
      <w:r w:rsidRPr="00B74795">
        <w:rPr>
          <w:rFonts w:ascii="Arial" w:hAnsi="Arial" w:cs="Arial"/>
          <w:lang w:val="en-AU"/>
        </w:rPr>
        <w:t>do</w:t>
      </w:r>
      <w:r w:rsidRPr="00B74795">
        <w:rPr>
          <w:rFonts w:ascii="Arial" w:hAnsi="Arial" w:cs="Arial"/>
          <w:lang w:val="en-AU"/>
        </w:rPr>
        <w:t xml:space="preserve"> ACAP; </w:t>
      </w:r>
      <w:hyperlink r:id="rId7" w:history="1">
        <w:r w:rsidRPr="00B74795">
          <w:rPr>
            <w:rStyle w:val="Hyperlink"/>
            <w:rFonts w:ascii="Arial" w:hAnsi="Arial" w:cs="Arial"/>
            <w:lang w:val="en-AU"/>
          </w:rPr>
          <w:t>christine.bogle@acap.aq</w:t>
        </w:r>
      </w:hyperlink>
    </w:p>
    <w:p w14:paraId="1DBCD33C" w14:textId="2A0E61AF" w:rsidR="00B74795" w:rsidRPr="00B74795" w:rsidRDefault="00B74795" w:rsidP="00B74795">
      <w:pPr>
        <w:rPr>
          <w:rFonts w:ascii="Arial" w:hAnsi="Arial" w:cs="Arial"/>
          <w:lang w:val="es-ES"/>
        </w:rPr>
      </w:pPr>
      <w:r w:rsidRPr="00B74795">
        <w:rPr>
          <w:rFonts w:ascii="Arial" w:hAnsi="Arial" w:cs="Arial"/>
          <w:sz w:val="24"/>
          <w:szCs w:val="24"/>
          <w:lang w:val="es-ES"/>
        </w:rPr>
        <w:t>P</w:t>
      </w:r>
      <w:r w:rsidRPr="00B74795">
        <w:rPr>
          <w:rFonts w:ascii="Arial" w:hAnsi="Arial" w:cs="Arial"/>
          <w:lang w:val="es-ES"/>
        </w:rPr>
        <w:t xml:space="preserve">atricia Serafini, </w:t>
      </w:r>
      <w:proofErr w:type="spellStart"/>
      <w:r>
        <w:rPr>
          <w:rFonts w:ascii="Arial" w:hAnsi="Arial" w:cs="Arial"/>
          <w:lang w:val="es-ES"/>
        </w:rPr>
        <w:t>Co-c</w:t>
      </w:r>
      <w:r w:rsidRPr="00B74795">
        <w:rPr>
          <w:rFonts w:ascii="Arial" w:hAnsi="Arial" w:cs="Arial"/>
          <w:lang w:val="es-ES"/>
        </w:rPr>
        <w:t>oordenadora</w:t>
      </w:r>
      <w:proofErr w:type="spellEnd"/>
      <w:r w:rsidRPr="00B74795">
        <w:rPr>
          <w:rFonts w:ascii="Arial" w:hAnsi="Arial" w:cs="Arial"/>
          <w:lang w:val="es-ES"/>
        </w:rPr>
        <w:t xml:space="preserve"> do Grupo de </w:t>
      </w:r>
      <w:proofErr w:type="spellStart"/>
      <w:r w:rsidRPr="00B74795">
        <w:rPr>
          <w:rFonts w:ascii="Arial" w:hAnsi="Arial" w:cs="Arial"/>
          <w:lang w:val="es-ES"/>
        </w:rPr>
        <w:t>Trabalho</w:t>
      </w:r>
      <w:proofErr w:type="spellEnd"/>
      <w:r w:rsidRPr="00B74795">
        <w:rPr>
          <w:rFonts w:ascii="Arial" w:hAnsi="Arial" w:cs="Arial"/>
          <w:lang w:val="es-ES"/>
        </w:rPr>
        <w:t xml:space="preserve"> de </w:t>
      </w:r>
      <w:proofErr w:type="spellStart"/>
      <w:r w:rsidRPr="00B74795">
        <w:rPr>
          <w:rFonts w:ascii="Arial" w:hAnsi="Arial" w:cs="Arial"/>
          <w:lang w:val="es-ES"/>
        </w:rPr>
        <w:t>Populações</w:t>
      </w:r>
      <w:proofErr w:type="spellEnd"/>
      <w:r w:rsidRPr="00B74795">
        <w:rPr>
          <w:rFonts w:ascii="Arial" w:hAnsi="Arial" w:cs="Arial"/>
          <w:lang w:val="es-ES"/>
        </w:rPr>
        <w:t xml:space="preserve"> e Estado de </w:t>
      </w:r>
      <w:proofErr w:type="spellStart"/>
      <w:r w:rsidRPr="00B74795">
        <w:rPr>
          <w:rFonts w:ascii="Arial" w:hAnsi="Arial" w:cs="Arial"/>
          <w:lang w:val="es-ES"/>
        </w:rPr>
        <w:t>Conservação</w:t>
      </w:r>
      <w:proofErr w:type="spellEnd"/>
      <w:r w:rsidRPr="00B74795">
        <w:rPr>
          <w:rFonts w:ascii="Arial" w:hAnsi="Arial" w:cs="Arial"/>
          <w:lang w:val="es-ES"/>
        </w:rPr>
        <w:t xml:space="preserve"> do ACAP</w:t>
      </w:r>
      <w:r>
        <w:rPr>
          <w:rFonts w:ascii="Arial" w:hAnsi="Arial" w:cs="Arial"/>
          <w:lang w:val="es-ES"/>
        </w:rPr>
        <w:t xml:space="preserve">, e </w:t>
      </w:r>
      <w:proofErr w:type="spellStart"/>
      <w:r w:rsidRPr="00B74795">
        <w:rPr>
          <w:rFonts w:ascii="Arial" w:hAnsi="Arial" w:cs="Arial"/>
          <w:lang w:val="es-ES"/>
        </w:rPr>
        <w:t>coordenadora</w:t>
      </w:r>
      <w:proofErr w:type="spellEnd"/>
      <w:r w:rsidRPr="00B74795">
        <w:rPr>
          <w:rFonts w:ascii="Arial" w:hAnsi="Arial" w:cs="Arial"/>
          <w:lang w:val="es-ES"/>
        </w:rPr>
        <w:t xml:space="preserve"> </w:t>
      </w:r>
      <w:r>
        <w:rPr>
          <w:rFonts w:ascii="Arial" w:hAnsi="Arial" w:cs="Arial"/>
          <w:lang w:val="es-ES"/>
        </w:rPr>
        <w:t xml:space="preserve">do </w:t>
      </w:r>
      <w:r w:rsidRPr="00B74795">
        <w:rPr>
          <w:rFonts w:ascii="Arial" w:hAnsi="Arial" w:cs="Arial"/>
          <w:lang w:val="es-ES"/>
        </w:rPr>
        <w:t xml:space="preserve">Grupo </w:t>
      </w:r>
      <w:proofErr w:type="spellStart"/>
      <w:r w:rsidRPr="00B74795">
        <w:rPr>
          <w:rFonts w:ascii="Arial" w:hAnsi="Arial" w:cs="Arial"/>
          <w:lang w:val="es-ES"/>
        </w:rPr>
        <w:t>Intersessional</w:t>
      </w:r>
      <w:proofErr w:type="spellEnd"/>
      <w:r w:rsidRPr="00B74795">
        <w:rPr>
          <w:rFonts w:ascii="Arial" w:hAnsi="Arial" w:cs="Arial"/>
          <w:lang w:val="es-ES"/>
        </w:rPr>
        <w:t xml:space="preserve"> do ACAP sobre Influenza </w:t>
      </w:r>
      <w:proofErr w:type="spellStart"/>
      <w:r w:rsidRPr="00B74795">
        <w:rPr>
          <w:rFonts w:ascii="Arial" w:hAnsi="Arial" w:cs="Arial"/>
          <w:lang w:val="es-ES"/>
        </w:rPr>
        <w:t>Aviária</w:t>
      </w:r>
      <w:proofErr w:type="spellEnd"/>
      <w:r w:rsidRPr="00B74795">
        <w:rPr>
          <w:rFonts w:ascii="Arial" w:hAnsi="Arial" w:cs="Arial"/>
          <w:lang w:val="es-ES"/>
        </w:rPr>
        <w:t xml:space="preserve"> e </w:t>
      </w:r>
      <w:proofErr w:type="spellStart"/>
      <w:r w:rsidRPr="00B74795">
        <w:rPr>
          <w:rFonts w:ascii="Arial" w:hAnsi="Arial" w:cs="Arial"/>
          <w:lang w:val="es-ES"/>
        </w:rPr>
        <w:t>Doenças</w:t>
      </w:r>
      <w:proofErr w:type="spellEnd"/>
      <w:r>
        <w:rPr>
          <w:rFonts w:ascii="Arial" w:hAnsi="Arial" w:cs="Arial"/>
          <w:lang w:val="es-ES"/>
        </w:rPr>
        <w:t>;</w:t>
      </w:r>
      <w:r w:rsidRPr="00B74795">
        <w:rPr>
          <w:rFonts w:ascii="Arial" w:hAnsi="Arial" w:cs="Arial"/>
          <w:lang w:val="es-ES"/>
        </w:rPr>
        <w:t xml:space="preserve"> </w:t>
      </w:r>
      <w:hyperlink r:id="rId8" w:history="1">
        <w:r w:rsidRPr="00B74795">
          <w:rPr>
            <w:rStyle w:val="Hyperlink"/>
            <w:rFonts w:ascii="Arial" w:hAnsi="Arial" w:cs="Arial"/>
            <w:lang w:val="es-ES"/>
          </w:rPr>
          <w:t>patricia.serafini@icmbio.gov.br</w:t>
        </w:r>
      </w:hyperlink>
    </w:p>
    <w:p w14:paraId="1DDE0D18" w14:textId="77777777" w:rsidR="00B74795" w:rsidRPr="00B74795" w:rsidRDefault="00B74795" w:rsidP="00B74795">
      <w:pPr>
        <w:jc w:val="center"/>
        <w:rPr>
          <w:rFonts w:ascii="Arial" w:hAnsi="Arial" w:cs="Arial"/>
          <w:lang w:val="es-ES"/>
        </w:rPr>
      </w:pPr>
    </w:p>
    <w:sectPr w:rsidR="00B74795" w:rsidRPr="00B74795" w:rsidSect="00B74795">
      <w:footerReference w:type="firs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8AB535" w14:textId="77777777" w:rsidR="00B74795" w:rsidRDefault="00B74795" w:rsidP="00B74795">
      <w:r>
        <w:separator/>
      </w:r>
    </w:p>
  </w:endnote>
  <w:endnote w:type="continuationSeparator" w:id="0">
    <w:p w14:paraId="31CCFCF4" w14:textId="77777777" w:rsidR="00B74795" w:rsidRDefault="00B74795" w:rsidP="00B747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67B06" w14:textId="7DBEAD4C" w:rsidR="00B74795" w:rsidRPr="00B74795" w:rsidRDefault="00B74795" w:rsidP="00B74795">
    <w:pPr>
      <w:tabs>
        <w:tab w:val="center" w:pos="4320"/>
        <w:tab w:val="right" w:pos="9072"/>
      </w:tabs>
      <w:rPr>
        <w:rFonts w:ascii="Times New Roman" w:eastAsia="Arial Unicode MS" w:hAnsi="Times New Roman" w:cs="Times New Roman"/>
        <w:color w:val="1F497D"/>
        <w:kern w:val="0"/>
        <w:sz w:val="24"/>
        <w:szCs w:val="24"/>
        <w:lang w:val="en-AU" w:eastAsia="en-AU"/>
        <w14:ligatures w14:val="none"/>
      </w:rPr>
    </w:pPr>
    <w:r w:rsidRPr="006B1A15">
      <w:rPr>
        <w:rFonts w:ascii="Times New Roman" w:eastAsia="Times New Roman" w:hAnsi="Times New Roman" w:cs="Times New Roman"/>
        <w:noProof/>
        <w:kern w:val="0"/>
        <w:sz w:val="24"/>
        <w:szCs w:val="24"/>
        <w:lang w:val="en-AU" w:eastAsia="en-AU"/>
        <w14:ligatures w14:val="none"/>
      </w:rPr>
      <mc:AlternateContent>
        <mc:Choice Requires="wps">
          <w:drawing>
            <wp:anchor distT="0" distB="0" distL="114300" distR="114300" simplePos="0" relativeHeight="251659264" behindDoc="0" locked="0" layoutInCell="1" allowOverlap="1" wp14:anchorId="652F1E74" wp14:editId="5BB021E7">
              <wp:simplePos x="0" y="0"/>
              <wp:positionH relativeFrom="column">
                <wp:posOffset>-9525</wp:posOffset>
              </wp:positionH>
              <wp:positionV relativeFrom="paragraph">
                <wp:posOffset>-95885</wp:posOffset>
              </wp:positionV>
              <wp:extent cx="5734050" cy="635"/>
              <wp:effectExtent l="0" t="0" r="19050" b="37465"/>
              <wp:wrapNone/>
              <wp:docPr id="1651876573" name="Straight Arrow Connector 16518765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4050" cy="635"/>
                      </a:xfrm>
                      <a:prstGeom prst="straightConnector1">
                        <a:avLst/>
                      </a:prstGeom>
                      <a:noFill/>
                      <a:ln w="9525">
                        <a:solidFill>
                          <a:srgbClr val="17365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AC443EC" id="_x0000_t32" coordsize="21600,21600" o:spt="32" o:oned="t" path="m,l21600,21600e" filled="f">
              <v:path arrowok="t" fillok="f" o:connecttype="none"/>
              <o:lock v:ext="edit" shapetype="t"/>
            </v:shapetype>
            <v:shape id="Straight Arrow Connector 1651876573" o:spid="_x0000_s1026" type="#_x0000_t32" style="position:absolute;margin-left:-.75pt;margin-top:-7.55pt;width:451.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yYovwEAAFgDAAAOAAAAZHJzL2Uyb0RvYy54bWysU8uO2zAMvBfoPwi6N86jzrZGnD0k3V62&#10;bYDdfgAjy7ZQWRRIJU7+vpI2yfZxK3oRKJEcDofU6v40WHHUxAZdLWeTqRTaKWyM62r5/fnh3Qcp&#10;OIBrwKLTtTxrlvfrt29Wo6/0HHu0jSYRQRxXo69lH4KvioJVrwfgCXrtorNFGiDEK3VFQzBG9MEW&#10;8+l0WYxIjSdUmjm+bl+ccp3x21ar8K1tWQdhaxm5hXxSPvfpLNYrqDoC3xt1oQH/wGIA42LRG9QW&#10;AogDmb+gBqMIGdswUTgU2LZG6dxD7GY2/aObpx68zr1EcdjfZOL/B6u+HjduR4m6Orkn/4jqBwuH&#10;mx5cpzOB57OPg5slqYrRc3VLSRf2OxL78Qs2MQYOAbMKp5aGBBn7E6cs9vkmtj4FoeJjebd4Py3j&#10;TFT0LRdlxofqmuqJw2eNg0hGLTkQmK4PG3QuDhVplgvB8ZFDIgbVNSHVdfhgrM2ztU6MtfxYzsuc&#10;wGhNk5wpjKnbbyyJI8TtmN0tluX2wuK3MMKDazJYr6H5dLEDGPtix+LWXcRJeqTl42qPzXlHV9Hi&#10;+DLLy6ql/fj1nrNfP8T6JwAAAP//AwBQSwMEFAAGAAgAAAAhAENH1q3cAAAACgEAAA8AAABkcnMv&#10;ZG93bnJldi54bWxMj0FPwzAMhe9I/IfISNy2pEOgrTSdAKkXONEBEje3MW1Fk1RN2pV/j7cLnCw/&#10;P733OdsvthczjaHzTkOyViDI1d50rtHwdihWWxAhojPYe0cafijAPr+8yDA1/uheaS5jIzjEhRQ1&#10;tDEOqZShbsliWPuBHN++/Ggx8jo20ox45HDby41Sd9Ji57ihxYGeWqq/y8lyb/UyYfm4K8xnUczP&#10;7x+bm+1itb6+Wh7uQURa4p8ZTviMDjkzVX5yJohewyq5Zed5JiDYsFMnpTorCmSeyf8v5L8AAAD/&#10;/wMAUEsBAi0AFAAGAAgAAAAhALaDOJL+AAAA4QEAABMAAAAAAAAAAAAAAAAAAAAAAFtDb250ZW50&#10;X1R5cGVzXS54bWxQSwECLQAUAAYACAAAACEAOP0h/9YAAACUAQAACwAAAAAAAAAAAAAAAAAvAQAA&#10;X3JlbHMvLnJlbHNQSwECLQAUAAYACAAAACEAlVcmKL8BAABYAwAADgAAAAAAAAAAAAAAAAAuAgAA&#10;ZHJzL2Uyb0RvYy54bWxQSwECLQAUAAYACAAAACEAQ0fWrdwAAAAKAQAADwAAAAAAAAAAAAAAAAAZ&#10;BAAAZHJzL2Rvd25yZXYueG1sUEsFBgAAAAAEAAQA8wAAACIFAAAAAA==&#10;" strokecolor="#17365d"/>
          </w:pict>
        </mc:Fallback>
      </mc:AlternateContent>
    </w:r>
    <w:r w:rsidRPr="006B1A15">
      <w:rPr>
        <w:rFonts w:ascii="Arial Narrow" w:eastAsia="Times New Roman" w:hAnsi="Arial Narrow" w:cs="Times New Roman"/>
        <w:color w:val="1F497D"/>
        <w:kern w:val="0"/>
        <w:sz w:val="19"/>
        <w:szCs w:val="19"/>
        <w:lang w:val="en-AU" w:eastAsia="en-AU"/>
        <w14:ligatures w14:val="none"/>
      </w:rPr>
      <w:t xml:space="preserve"> ACAP Secretariat, 119 Macquarie St., Hobart, Tasmania 7000, Australia.  </w:t>
    </w:r>
    <w:hyperlink r:id="rId1" w:history="1">
      <w:r w:rsidRPr="006B1A15">
        <w:rPr>
          <w:rFonts w:ascii="Arial Narrow" w:eastAsia="Times New Roman" w:hAnsi="Arial Narrow" w:cs="Times New Roman"/>
          <w:color w:val="0563C1"/>
          <w:kern w:val="0"/>
          <w:sz w:val="19"/>
          <w:szCs w:val="19"/>
          <w:u w:val="single"/>
          <w:lang w:val="en-AU" w:eastAsia="en-AU"/>
          <w14:ligatures w14:val="none"/>
        </w:rPr>
        <w:t>Secretariat@acap.aq</w:t>
      </w:r>
    </w:hyperlink>
    <w:r w:rsidRPr="006B1A15">
      <w:rPr>
        <w:rFonts w:ascii="Arial Narrow" w:eastAsia="Times New Roman" w:hAnsi="Arial Narrow" w:cs="Times New Roman"/>
        <w:color w:val="1F497D"/>
        <w:kern w:val="0"/>
        <w:sz w:val="19"/>
        <w:szCs w:val="19"/>
        <w:lang w:val="en-AU" w:eastAsia="en-AU"/>
        <w14:ligatures w14:val="none"/>
      </w:rPr>
      <w:t xml:space="preserve">   +61 3 6165 6674   www.acap.aq</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759E73" w14:textId="77777777" w:rsidR="00B74795" w:rsidRDefault="00B74795" w:rsidP="00B74795">
      <w:r>
        <w:separator/>
      </w:r>
    </w:p>
  </w:footnote>
  <w:footnote w:type="continuationSeparator" w:id="0">
    <w:p w14:paraId="23F09E8E" w14:textId="77777777" w:rsidR="00B74795" w:rsidRDefault="00B74795" w:rsidP="00B7479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7D2C"/>
    <w:rsid w:val="000957C5"/>
    <w:rsid w:val="000C3F50"/>
    <w:rsid w:val="00117B52"/>
    <w:rsid w:val="00186318"/>
    <w:rsid w:val="001C71DB"/>
    <w:rsid w:val="001E5B47"/>
    <w:rsid w:val="001E7739"/>
    <w:rsid w:val="001F2630"/>
    <w:rsid w:val="00244B6B"/>
    <w:rsid w:val="002862E7"/>
    <w:rsid w:val="003E798E"/>
    <w:rsid w:val="00471056"/>
    <w:rsid w:val="004F3FE9"/>
    <w:rsid w:val="00514A85"/>
    <w:rsid w:val="005707D7"/>
    <w:rsid w:val="005A507F"/>
    <w:rsid w:val="005A552E"/>
    <w:rsid w:val="005E643E"/>
    <w:rsid w:val="00616358"/>
    <w:rsid w:val="006573A8"/>
    <w:rsid w:val="00721B97"/>
    <w:rsid w:val="00722107"/>
    <w:rsid w:val="00755B36"/>
    <w:rsid w:val="007901A2"/>
    <w:rsid w:val="007C3A7C"/>
    <w:rsid w:val="007D5250"/>
    <w:rsid w:val="00885EAA"/>
    <w:rsid w:val="008D7BA1"/>
    <w:rsid w:val="00925288"/>
    <w:rsid w:val="009B25DA"/>
    <w:rsid w:val="009C4BC7"/>
    <w:rsid w:val="009D5E97"/>
    <w:rsid w:val="00A60309"/>
    <w:rsid w:val="00A84933"/>
    <w:rsid w:val="00AD1B3D"/>
    <w:rsid w:val="00B74795"/>
    <w:rsid w:val="00CF730E"/>
    <w:rsid w:val="00D228EF"/>
    <w:rsid w:val="00D53D91"/>
    <w:rsid w:val="00D819D1"/>
    <w:rsid w:val="00DA6E8D"/>
    <w:rsid w:val="00DB694A"/>
    <w:rsid w:val="00DD363C"/>
    <w:rsid w:val="00E0672D"/>
    <w:rsid w:val="00E67795"/>
    <w:rsid w:val="00E722C7"/>
    <w:rsid w:val="00E740C1"/>
    <w:rsid w:val="00E81FB8"/>
    <w:rsid w:val="00EB5C76"/>
    <w:rsid w:val="00EC4703"/>
    <w:rsid w:val="00ED16D9"/>
    <w:rsid w:val="00F077DF"/>
    <w:rsid w:val="00F97DA5"/>
    <w:rsid w:val="00FC7D2C"/>
    <w:rsid w:val="00FD1D48"/>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43E35"/>
  <w15:chartTrackingRefBased/>
  <w15:docId w15:val="{A931AA58-39F3-45D6-800D-B77021777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Z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FC7D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C7D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C7D2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C7D2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C7D2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C7D2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7D2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7D2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7D2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7D2C"/>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FC7D2C"/>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FC7D2C"/>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FC7D2C"/>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FC7D2C"/>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FC7D2C"/>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FC7D2C"/>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FC7D2C"/>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FC7D2C"/>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FC7D2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7D2C"/>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FC7D2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7D2C"/>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FC7D2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C7D2C"/>
    <w:rPr>
      <w:i/>
      <w:iCs/>
      <w:color w:val="404040" w:themeColor="text1" w:themeTint="BF"/>
      <w:lang w:val="en-GB"/>
    </w:rPr>
  </w:style>
  <w:style w:type="paragraph" w:styleId="ListParagraph">
    <w:name w:val="List Paragraph"/>
    <w:basedOn w:val="Normal"/>
    <w:uiPriority w:val="34"/>
    <w:qFormat/>
    <w:rsid w:val="00FC7D2C"/>
    <w:pPr>
      <w:ind w:left="720"/>
      <w:contextualSpacing/>
    </w:pPr>
  </w:style>
  <w:style w:type="character" w:styleId="IntenseEmphasis">
    <w:name w:val="Intense Emphasis"/>
    <w:basedOn w:val="DefaultParagraphFont"/>
    <w:uiPriority w:val="21"/>
    <w:qFormat/>
    <w:rsid w:val="00FC7D2C"/>
    <w:rPr>
      <w:i/>
      <w:iCs/>
      <w:color w:val="0F4761" w:themeColor="accent1" w:themeShade="BF"/>
    </w:rPr>
  </w:style>
  <w:style w:type="paragraph" w:styleId="IntenseQuote">
    <w:name w:val="Intense Quote"/>
    <w:basedOn w:val="Normal"/>
    <w:next w:val="Normal"/>
    <w:link w:val="IntenseQuoteChar"/>
    <w:uiPriority w:val="30"/>
    <w:qFormat/>
    <w:rsid w:val="00FC7D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C7D2C"/>
    <w:rPr>
      <w:i/>
      <w:iCs/>
      <w:color w:val="0F4761" w:themeColor="accent1" w:themeShade="BF"/>
      <w:lang w:val="en-GB"/>
    </w:rPr>
  </w:style>
  <w:style w:type="character" w:styleId="IntenseReference">
    <w:name w:val="Intense Reference"/>
    <w:basedOn w:val="DefaultParagraphFont"/>
    <w:uiPriority w:val="32"/>
    <w:qFormat/>
    <w:rsid w:val="00FC7D2C"/>
    <w:rPr>
      <w:b/>
      <w:bCs/>
      <w:smallCaps/>
      <w:color w:val="0F4761" w:themeColor="accent1" w:themeShade="BF"/>
      <w:spacing w:val="5"/>
    </w:rPr>
  </w:style>
  <w:style w:type="character" w:styleId="Hyperlink">
    <w:name w:val="Hyperlink"/>
    <w:basedOn w:val="DefaultParagraphFont"/>
    <w:uiPriority w:val="99"/>
    <w:unhideWhenUsed/>
    <w:rsid w:val="00FC7D2C"/>
    <w:rPr>
      <w:color w:val="467886" w:themeColor="hyperlink"/>
      <w:u w:val="single"/>
    </w:rPr>
  </w:style>
  <w:style w:type="character" w:styleId="UnresolvedMention">
    <w:name w:val="Unresolved Mention"/>
    <w:basedOn w:val="DefaultParagraphFont"/>
    <w:uiPriority w:val="99"/>
    <w:semiHidden/>
    <w:unhideWhenUsed/>
    <w:rsid w:val="00FC7D2C"/>
    <w:rPr>
      <w:color w:val="605E5C"/>
      <w:shd w:val="clear" w:color="auto" w:fill="E1DFDD"/>
    </w:rPr>
  </w:style>
  <w:style w:type="paragraph" w:styleId="Revision">
    <w:name w:val="Revision"/>
    <w:hidden/>
    <w:uiPriority w:val="99"/>
    <w:semiHidden/>
    <w:rsid w:val="00FC7D2C"/>
    <w:rPr>
      <w:lang w:val="en-GB"/>
    </w:rPr>
  </w:style>
  <w:style w:type="character" w:styleId="CommentReference">
    <w:name w:val="annotation reference"/>
    <w:basedOn w:val="DefaultParagraphFont"/>
    <w:uiPriority w:val="99"/>
    <w:semiHidden/>
    <w:unhideWhenUsed/>
    <w:rsid w:val="001F2630"/>
    <w:rPr>
      <w:sz w:val="16"/>
      <w:szCs w:val="16"/>
    </w:rPr>
  </w:style>
  <w:style w:type="paragraph" w:styleId="CommentText">
    <w:name w:val="annotation text"/>
    <w:basedOn w:val="Normal"/>
    <w:link w:val="CommentTextChar"/>
    <w:uiPriority w:val="99"/>
    <w:unhideWhenUsed/>
    <w:rsid w:val="001F2630"/>
    <w:rPr>
      <w:sz w:val="20"/>
      <w:szCs w:val="20"/>
    </w:rPr>
  </w:style>
  <w:style w:type="character" w:customStyle="1" w:styleId="CommentTextChar">
    <w:name w:val="Comment Text Char"/>
    <w:basedOn w:val="DefaultParagraphFont"/>
    <w:link w:val="CommentText"/>
    <w:uiPriority w:val="99"/>
    <w:rsid w:val="001F2630"/>
    <w:rPr>
      <w:sz w:val="20"/>
      <w:szCs w:val="20"/>
      <w:lang w:val="en-GB"/>
    </w:rPr>
  </w:style>
  <w:style w:type="paragraph" w:styleId="CommentSubject">
    <w:name w:val="annotation subject"/>
    <w:basedOn w:val="CommentText"/>
    <w:next w:val="CommentText"/>
    <w:link w:val="CommentSubjectChar"/>
    <w:uiPriority w:val="99"/>
    <w:semiHidden/>
    <w:unhideWhenUsed/>
    <w:rsid w:val="001F2630"/>
    <w:rPr>
      <w:b/>
      <w:bCs/>
    </w:rPr>
  </w:style>
  <w:style w:type="character" w:customStyle="1" w:styleId="CommentSubjectChar">
    <w:name w:val="Comment Subject Char"/>
    <w:basedOn w:val="CommentTextChar"/>
    <w:link w:val="CommentSubject"/>
    <w:uiPriority w:val="99"/>
    <w:semiHidden/>
    <w:rsid w:val="001F2630"/>
    <w:rPr>
      <w:b/>
      <w:bCs/>
      <w:sz w:val="20"/>
      <w:szCs w:val="20"/>
      <w:lang w:val="en-GB"/>
    </w:rPr>
  </w:style>
  <w:style w:type="paragraph" w:styleId="Header">
    <w:name w:val="header"/>
    <w:basedOn w:val="Normal"/>
    <w:link w:val="HeaderChar"/>
    <w:uiPriority w:val="99"/>
    <w:unhideWhenUsed/>
    <w:rsid w:val="00B74795"/>
    <w:pPr>
      <w:tabs>
        <w:tab w:val="center" w:pos="4513"/>
        <w:tab w:val="right" w:pos="9026"/>
      </w:tabs>
    </w:pPr>
  </w:style>
  <w:style w:type="character" w:customStyle="1" w:styleId="HeaderChar">
    <w:name w:val="Header Char"/>
    <w:basedOn w:val="DefaultParagraphFont"/>
    <w:link w:val="Header"/>
    <w:uiPriority w:val="99"/>
    <w:rsid w:val="00B74795"/>
    <w:rPr>
      <w:lang w:val="en-GB"/>
    </w:rPr>
  </w:style>
  <w:style w:type="paragraph" w:styleId="Footer">
    <w:name w:val="footer"/>
    <w:basedOn w:val="Normal"/>
    <w:link w:val="FooterChar"/>
    <w:uiPriority w:val="99"/>
    <w:unhideWhenUsed/>
    <w:rsid w:val="00B74795"/>
    <w:pPr>
      <w:tabs>
        <w:tab w:val="center" w:pos="4513"/>
        <w:tab w:val="right" w:pos="9026"/>
      </w:tabs>
    </w:pPr>
  </w:style>
  <w:style w:type="character" w:customStyle="1" w:styleId="FooterChar">
    <w:name w:val="Footer Char"/>
    <w:basedOn w:val="DefaultParagraphFont"/>
    <w:link w:val="Footer"/>
    <w:uiPriority w:val="99"/>
    <w:rsid w:val="00B7479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111961">
      <w:bodyDiv w:val="1"/>
      <w:marLeft w:val="0"/>
      <w:marRight w:val="0"/>
      <w:marTop w:val="0"/>
      <w:marBottom w:val="0"/>
      <w:divBdr>
        <w:top w:val="none" w:sz="0" w:space="0" w:color="auto"/>
        <w:left w:val="none" w:sz="0" w:space="0" w:color="auto"/>
        <w:bottom w:val="none" w:sz="0" w:space="0" w:color="auto"/>
        <w:right w:val="none" w:sz="0" w:space="0" w:color="auto"/>
      </w:divBdr>
    </w:div>
    <w:div w:id="1216429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tricia.serafini@icmbio.gov.br" TargetMode="External"/><Relationship Id="rId3" Type="http://schemas.openxmlformats.org/officeDocument/2006/relationships/webSettings" Target="webSettings.xml"/><Relationship Id="rId7" Type="http://schemas.openxmlformats.org/officeDocument/2006/relationships/hyperlink" Target="mailto:christine.bogle@acap.aq"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Secretariat@acap.a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1052</Words>
  <Characters>6029</Characters>
  <Application>Microsoft Office Word</Application>
  <DocSecurity>0</DocSecurity>
  <Lines>115</Lines>
  <Paragraphs>20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cooper</dc:creator>
  <cp:keywords/>
  <dc:description/>
  <cp:lastModifiedBy>WM</cp:lastModifiedBy>
  <cp:revision>3</cp:revision>
  <dcterms:created xsi:type="dcterms:W3CDTF">2025-06-16T08:39:00Z</dcterms:created>
  <dcterms:modified xsi:type="dcterms:W3CDTF">2025-06-16T08:51:00Z</dcterms:modified>
</cp:coreProperties>
</file>